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0CAC" w:rsidRDefault="00160CAC" w:rsidP="00160CAC">
      <w:pPr>
        <w:pStyle w:val="Default"/>
      </w:pPr>
    </w:p>
    <w:p w:rsidR="00160CAC" w:rsidRPr="00160CAC" w:rsidRDefault="00160CAC" w:rsidP="00160CAC">
      <w:pPr>
        <w:pStyle w:val="Default"/>
        <w:jc w:val="center"/>
        <w:rPr>
          <w:rFonts w:ascii="Times New Roman" w:hAnsi="Times New Roman" w:cs="Times New Roman"/>
          <w:sz w:val="32"/>
          <w:szCs w:val="32"/>
        </w:rPr>
      </w:pPr>
      <w:r w:rsidRPr="00160CAC">
        <w:rPr>
          <w:rFonts w:ascii="Times New Roman" w:hAnsi="Times New Roman" w:cs="Times New Roman"/>
          <w:b/>
          <w:bCs/>
          <w:sz w:val="32"/>
          <w:szCs w:val="32"/>
        </w:rPr>
        <w:t>Summer mini-course: “Social Interactions and Urban segregation”</w:t>
      </w:r>
    </w:p>
    <w:p w:rsidR="00160CAC" w:rsidRPr="00160CAC" w:rsidRDefault="00160CAC" w:rsidP="00160CAC">
      <w:pPr>
        <w:pStyle w:val="Default"/>
        <w:jc w:val="center"/>
        <w:rPr>
          <w:rFonts w:ascii="Times New Roman" w:hAnsi="Times New Roman" w:cs="Times New Roman"/>
          <w:sz w:val="32"/>
          <w:szCs w:val="32"/>
        </w:rPr>
      </w:pPr>
      <w:r w:rsidRPr="00160CAC">
        <w:rPr>
          <w:rFonts w:ascii="Times New Roman" w:hAnsi="Times New Roman" w:cs="Times New Roman"/>
          <w:b/>
          <w:bCs/>
          <w:sz w:val="32"/>
          <w:szCs w:val="32"/>
        </w:rPr>
        <w:t>Fabien MOIZEAU (University of Rennes 1 and CREM)</w:t>
      </w:r>
    </w:p>
    <w:p w:rsidR="00160CAC" w:rsidRDefault="00160CAC" w:rsidP="00160CAC">
      <w:pPr>
        <w:pStyle w:val="Default"/>
        <w:rPr>
          <w:rFonts w:ascii="Times New Roman" w:hAnsi="Times New Roman" w:cs="Times New Roman" w:hint="eastAsia"/>
          <w:b/>
          <w:bCs/>
          <w:sz w:val="32"/>
          <w:szCs w:val="32"/>
        </w:rPr>
      </w:pPr>
    </w:p>
    <w:p w:rsidR="00160CAC" w:rsidRPr="00160CAC" w:rsidRDefault="00160CAC" w:rsidP="00160CAC">
      <w:pPr>
        <w:pStyle w:val="Default"/>
        <w:rPr>
          <w:rFonts w:ascii="Times New Roman" w:hAnsi="Times New Roman" w:cs="Times New Roman"/>
          <w:sz w:val="28"/>
          <w:szCs w:val="28"/>
        </w:rPr>
      </w:pPr>
      <w:bookmarkStart w:id="0" w:name="_GoBack"/>
      <w:bookmarkEnd w:id="0"/>
      <w:r w:rsidRPr="00160CAC">
        <w:rPr>
          <w:rFonts w:ascii="Times New Roman" w:hAnsi="Times New Roman" w:cs="Times New Roman"/>
          <w:b/>
          <w:bCs/>
          <w:sz w:val="28"/>
          <w:szCs w:val="28"/>
        </w:rPr>
        <w:t xml:space="preserve">Syllabus: </w:t>
      </w:r>
    </w:p>
    <w:p w:rsidR="00160CAC" w:rsidRPr="00160CAC" w:rsidRDefault="00160CAC" w:rsidP="00160CAC">
      <w:pPr>
        <w:pStyle w:val="Default"/>
        <w:jc w:val="both"/>
        <w:rPr>
          <w:rFonts w:ascii="Times New Roman" w:hAnsi="Times New Roman" w:cs="Times New Roman"/>
          <w:sz w:val="28"/>
          <w:szCs w:val="28"/>
        </w:rPr>
      </w:pPr>
      <w:r w:rsidRPr="00160CAC">
        <w:rPr>
          <w:rFonts w:ascii="Times New Roman" w:hAnsi="Times New Roman" w:cs="Times New Roman"/>
          <w:sz w:val="28"/>
          <w:szCs w:val="28"/>
        </w:rPr>
        <w:t xml:space="preserve">The rise of inequality observed in most developed countries is accompanied by increased sorting in society. Individuals group themselves into social clusters or local communities leading to a stratified society, that is to say a society organized in communities of individuals with “similar” characteristics. Certainly one of the most striking manifestations of this social stratification is residential sorting by income (Bischoff and Reardon, 2011, </w:t>
      </w:r>
      <w:r w:rsidRPr="00160CAC">
        <w:rPr>
          <w:rFonts w:ascii="Times New Roman" w:hAnsi="Times New Roman" w:cs="Times New Roman"/>
          <w:i/>
          <w:iCs/>
          <w:sz w:val="28"/>
          <w:szCs w:val="28"/>
        </w:rPr>
        <w:t xml:space="preserve">American Journal of Sociology, </w:t>
      </w:r>
      <w:proofErr w:type="spellStart"/>
      <w:r w:rsidRPr="00160CAC">
        <w:rPr>
          <w:rFonts w:ascii="Times New Roman" w:hAnsi="Times New Roman" w:cs="Times New Roman"/>
          <w:sz w:val="28"/>
          <w:szCs w:val="28"/>
        </w:rPr>
        <w:t>Glaeser</w:t>
      </w:r>
      <w:proofErr w:type="spellEnd"/>
      <w:r w:rsidRPr="00160CAC">
        <w:rPr>
          <w:rFonts w:ascii="Times New Roman" w:hAnsi="Times New Roman" w:cs="Times New Roman"/>
          <w:sz w:val="28"/>
          <w:szCs w:val="28"/>
        </w:rPr>
        <w:t xml:space="preserve"> </w:t>
      </w:r>
      <w:r w:rsidRPr="00160CAC">
        <w:rPr>
          <w:rFonts w:ascii="Times New Roman" w:hAnsi="Times New Roman" w:cs="Times New Roman"/>
          <w:i/>
          <w:iCs/>
          <w:sz w:val="28"/>
          <w:szCs w:val="28"/>
        </w:rPr>
        <w:t xml:space="preserve">et al. </w:t>
      </w:r>
      <w:r w:rsidRPr="00160CAC">
        <w:rPr>
          <w:rFonts w:ascii="Times New Roman" w:hAnsi="Times New Roman" w:cs="Times New Roman"/>
          <w:sz w:val="28"/>
          <w:szCs w:val="28"/>
        </w:rPr>
        <w:t>2008</w:t>
      </w:r>
      <w:r w:rsidRPr="00160CAC">
        <w:rPr>
          <w:rFonts w:ascii="Times New Roman" w:hAnsi="Times New Roman" w:cs="Times New Roman"/>
          <w:i/>
          <w:iCs/>
          <w:sz w:val="28"/>
          <w:szCs w:val="28"/>
        </w:rPr>
        <w:t>, Journal of Urban Economics</w:t>
      </w:r>
      <w:r w:rsidRPr="00160CAC">
        <w:rPr>
          <w:rFonts w:ascii="Times New Roman" w:hAnsi="Times New Roman" w:cs="Times New Roman"/>
          <w:sz w:val="28"/>
          <w:szCs w:val="28"/>
        </w:rPr>
        <w:t xml:space="preserve">). The social stratification can be observed in other arenas of collective life </w:t>
      </w:r>
      <w:r w:rsidRPr="00160CAC">
        <w:rPr>
          <w:rFonts w:ascii="Times New Roman" w:hAnsi="Times New Roman" w:cs="Times New Roman"/>
          <w:i/>
          <w:iCs/>
          <w:sz w:val="28"/>
          <w:szCs w:val="28"/>
        </w:rPr>
        <w:t xml:space="preserve">a priori </w:t>
      </w:r>
      <w:r w:rsidRPr="00160CAC">
        <w:rPr>
          <w:rFonts w:ascii="Times New Roman" w:hAnsi="Times New Roman" w:cs="Times New Roman"/>
          <w:sz w:val="28"/>
          <w:szCs w:val="28"/>
        </w:rPr>
        <w:t xml:space="preserve">favorable to social mixing. For instance, in France in 2015, pupils from high-income </w:t>
      </w:r>
      <w:proofErr w:type="gramStart"/>
      <w:r w:rsidRPr="00160CAC">
        <w:rPr>
          <w:rFonts w:ascii="Times New Roman" w:hAnsi="Times New Roman" w:cs="Times New Roman"/>
          <w:sz w:val="28"/>
          <w:szCs w:val="28"/>
        </w:rPr>
        <w:t>families</w:t>
      </w:r>
      <w:proofErr w:type="gramEnd"/>
      <w:r w:rsidRPr="00160CAC">
        <w:rPr>
          <w:rFonts w:ascii="Times New Roman" w:hAnsi="Times New Roman" w:cs="Times New Roman"/>
          <w:sz w:val="28"/>
          <w:szCs w:val="28"/>
        </w:rPr>
        <w:t xml:space="preserve"> amount to 19.4% of the students’ population in public junior high schools located in poor neighborhoods while they are 34.1% in establishments located in better neighborhoods. Moreover, in American high schools, friendship networks appear to be highly segregated between white and black individuals (</w:t>
      </w:r>
      <w:proofErr w:type="spellStart"/>
      <w:r w:rsidRPr="00160CAC">
        <w:rPr>
          <w:rFonts w:ascii="Times New Roman" w:hAnsi="Times New Roman" w:cs="Times New Roman"/>
          <w:sz w:val="28"/>
          <w:szCs w:val="28"/>
        </w:rPr>
        <w:t>Currarini</w:t>
      </w:r>
      <w:proofErr w:type="spellEnd"/>
      <w:r w:rsidRPr="00160CAC">
        <w:rPr>
          <w:rFonts w:ascii="Times New Roman" w:hAnsi="Times New Roman" w:cs="Times New Roman"/>
          <w:sz w:val="28"/>
          <w:szCs w:val="28"/>
        </w:rPr>
        <w:t xml:space="preserve">, Jackson and Pin, 2008, </w:t>
      </w:r>
      <w:proofErr w:type="spellStart"/>
      <w:r w:rsidRPr="00160CAC">
        <w:rPr>
          <w:rFonts w:ascii="Times New Roman" w:hAnsi="Times New Roman" w:cs="Times New Roman"/>
          <w:i/>
          <w:iCs/>
          <w:sz w:val="28"/>
          <w:szCs w:val="28"/>
        </w:rPr>
        <w:t>Econometrica</w:t>
      </w:r>
      <w:proofErr w:type="spellEnd"/>
      <w:r w:rsidRPr="00160CAC">
        <w:rPr>
          <w:rFonts w:ascii="Times New Roman" w:hAnsi="Times New Roman" w:cs="Times New Roman"/>
          <w:sz w:val="28"/>
          <w:szCs w:val="28"/>
        </w:rPr>
        <w:t xml:space="preserve">). </w:t>
      </w:r>
      <w:proofErr w:type="spellStart"/>
      <w:r w:rsidRPr="00160CAC">
        <w:rPr>
          <w:rFonts w:ascii="Times New Roman" w:hAnsi="Times New Roman" w:cs="Times New Roman"/>
          <w:sz w:val="28"/>
          <w:szCs w:val="28"/>
        </w:rPr>
        <w:t>Eika</w:t>
      </w:r>
      <w:proofErr w:type="spellEnd"/>
      <w:r w:rsidRPr="00160CAC">
        <w:rPr>
          <w:rFonts w:ascii="Times New Roman" w:hAnsi="Times New Roman" w:cs="Times New Roman"/>
          <w:sz w:val="28"/>
          <w:szCs w:val="28"/>
        </w:rPr>
        <w:t xml:space="preserve">, </w:t>
      </w:r>
      <w:proofErr w:type="spellStart"/>
      <w:r w:rsidRPr="00160CAC">
        <w:rPr>
          <w:rFonts w:ascii="Times New Roman" w:hAnsi="Times New Roman" w:cs="Times New Roman"/>
          <w:sz w:val="28"/>
          <w:szCs w:val="28"/>
        </w:rPr>
        <w:t>Mogstad</w:t>
      </w:r>
      <w:proofErr w:type="spellEnd"/>
      <w:r w:rsidRPr="00160CAC">
        <w:rPr>
          <w:rFonts w:ascii="Times New Roman" w:hAnsi="Times New Roman" w:cs="Times New Roman"/>
          <w:sz w:val="28"/>
          <w:szCs w:val="28"/>
        </w:rPr>
        <w:t xml:space="preserve"> and Zafar (2018, </w:t>
      </w:r>
      <w:r w:rsidRPr="00160CAC">
        <w:rPr>
          <w:rFonts w:ascii="Times New Roman" w:hAnsi="Times New Roman" w:cs="Times New Roman"/>
          <w:i/>
          <w:iCs/>
          <w:sz w:val="28"/>
          <w:szCs w:val="28"/>
        </w:rPr>
        <w:t>Journal of Political Economy</w:t>
      </w:r>
      <w:r w:rsidRPr="00160CAC">
        <w:rPr>
          <w:rFonts w:ascii="Times New Roman" w:hAnsi="Times New Roman" w:cs="Times New Roman"/>
          <w:sz w:val="28"/>
          <w:szCs w:val="28"/>
        </w:rPr>
        <w:t xml:space="preserve">), reporting trends in educational assortative marriage in various </w:t>
      </w:r>
      <w:r w:rsidRPr="00160CAC">
        <w:rPr>
          <w:rFonts w:ascii="Times New Roman" w:hAnsi="Times New Roman" w:cs="Times New Roman"/>
          <w:sz w:val="28"/>
          <w:szCs w:val="28"/>
        </w:rPr>
        <w:lastRenderedPageBreak/>
        <w:t>developed countries, show that educational endogamy increased from 1960 to 2013. Individuals choose their companions often on the basis of common economic class because communities formed this way provide their members with some social interactions that are important to subsequent individual productivity. It is for instance well documented that an individual’s prospect of upward mobility in the income ladder is strongly related to her/his place of residence and neighborhood (</w:t>
      </w:r>
      <w:proofErr w:type="spellStart"/>
      <w:r w:rsidRPr="00160CAC">
        <w:rPr>
          <w:rFonts w:ascii="Times New Roman" w:hAnsi="Times New Roman" w:cs="Times New Roman"/>
          <w:sz w:val="28"/>
          <w:szCs w:val="28"/>
        </w:rPr>
        <w:t>Chetty</w:t>
      </w:r>
      <w:proofErr w:type="spellEnd"/>
      <w:r w:rsidRPr="00160CAC">
        <w:rPr>
          <w:rFonts w:ascii="Times New Roman" w:hAnsi="Times New Roman" w:cs="Times New Roman"/>
          <w:sz w:val="28"/>
          <w:szCs w:val="28"/>
        </w:rPr>
        <w:t xml:space="preserve"> et al., 2016; </w:t>
      </w:r>
      <w:r w:rsidRPr="00160CAC">
        <w:rPr>
          <w:rFonts w:ascii="Times New Roman" w:hAnsi="Times New Roman" w:cs="Times New Roman"/>
          <w:i/>
          <w:iCs/>
          <w:sz w:val="28"/>
          <w:szCs w:val="28"/>
        </w:rPr>
        <w:t>Quarterly Journal of Economics</w:t>
      </w:r>
      <w:r w:rsidRPr="00160CAC">
        <w:rPr>
          <w:rFonts w:ascii="Times New Roman" w:hAnsi="Times New Roman" w:cs="Times New Roman"/>
          <w:sz w:val="28"/>
          <w:szCs w:val="28"/>
        </w:rPr>
        <w:t>). Thus, spatial fragmentation is said to undermine the working of the city and to threaten social cohesion as a whole, which is likely to trigger strong and disruptive political effects (</w:t>
      </w:r>
      <w:proofErr w:type="spellStart"/>
      <w:r w:rsidRPr="00160CAC">
        <w:rPr>
          <w:rFonts w:ascii="Times New Roman" w:hAnsi="Times New Roman" w:cs="Times New Roman"/>
          <w:sz w:val="28"/>
          <w:szCs w:val="28"/>
        </w:rPr>
        <w:t>Inglehart</w:t>
      </w:r>
      <w:proofErr w:type="spellEnd"/>
      <w:r w:rsidRPr="00160CAC">
        <w:rPr>
          <w:rFonts w:ascii="Times New Roman" w:hAnsi="Times New Roman" w:cs="Times New Roman"/>
          <w:sz w:val="28"/>
          <w:szCs w:val="28"/>
        </w:rPr>
        <w:t xml:space="preserve"> and Norris, 2016, </w:t>
      </w:r>
      <w:r w:rsidRPr="00160CAC">
        <w:rPr>
          <w:rFonts w:ascii="Times New Roman" w:hAnsi="Times New Roman" w:cs="Times New Roman"/>
          <w:i/>
          <w:iCs/>
          <w:sz w:val="28"/>
          <w:szCs w:val="28"/>
        </w:rPr>
        <w:t xml:space="preserve">Harvard Kennedy School, </w:t>
      </w:r>
      <w:r w:rsidRPr="00160CAC">
        <w:rPr>
          <w:rFonts w:ascii="Times New Roman" w:hAnsi="Times New Roman" w:cs="Times New Roman"/>
          <w:sz w:val="28"/>
          <w:szCs w:val="28"/>
        </w:rPr>
        <w:t xml:space="preserve">WP 16-026). </w:t>
      </w:r>
    </w:p>
    <w:p w:rsidR="008946A7" w:rsidRDefault="00160CAC" w:rsidP="00160CAC">
      <w:pPr>
        <w:ind w:firstLineChars="200" w:firstLine="560"/>
        <w:rPr>
          <w:rFonts w:ascii="Times New Roman" w:hAnsi="Times New Roman" w:cs="Times New Roman" w:hint="eastAsia"/>
          <w:sz w:val="28"/>
          <w:szCs w:val="28"/>
        </w:rPr>
      </w:pPr>
      <w:r w:rsidRPr="00160CAC">
        <w:rPr>
          <w:rFonts w:ascii="Times New Roman" w:hAnsi="Times New Roman" w:cs="Times New Roman"/>
          <w:sz w:val="28"/>
          <w:szCs w:val="28"/>
        </w:rPr>
        <w:t>The mini-course presents recent developments in the economic literature on social interactions and inequality that address the three following questions: what are the sources of income sorting? How does sorting influence the future inequalities and economic performances of societies? What are the public policies that may influence the degree of social stratification and lessen inequalities?</w:t>
      </w:r>
    </w:p>
    <w:p w:rsidR="00160CAC" w:rsidRPr="00160CAC" w:rsidRDefault="00160CAC" w:rsidP="00160CAC">
      <w:pPr>
        <w:pStyle w:val="Default"/>
        <w:rPr>
          <w:rFonts w:ascii="Times New Roman" w:hAnsi="Times New Roman" w:cs="Times New Roman"/>
          <w:sz w:val="28"/>
          <w:szCs w:val="28"/>
        </w:rPr>
      </w:pPr>
      <w:r w:rsidRPr="00160CAC">
        <w:rPr>
          <w:rFonts w:ascii="Times New Roman" w:hAnsi="Times New Roman" w:cs="Times New Roman"/>
          <w:b/>
          <w:bCs/>
          <w:sz w:val="28"/>
          <w:szCs w:val="28"/>
        </w:rPr>
        <w:t xml:space="preserve">Students’ background: </w:t>
      </w:r>
    </w:p>
    <w:p w:rsidR="00160CAC" w:rsidRPr="00160CAC" w:rsidRDefault="00160CAC" w:rsidP="00160CAC">
      <w:pPr>
        <w:ind w:firstLineChars="200" w:firstLine="560"/>
        <w:rPr>
          <w:rFonts w:ascii="Times New Roman" w:hAnsi="Times New Roman" w:cs="Times New Roman"/>
          <w:sz w:val="28"/>
          <w:szCs w:val="28"/>
        </w:rPr>
      </w:pPr>
      <w:r w:rsidRPr="00160CAC">
        <w:rPr>
          <w:rFonts w:ascii="Times New Roman" w:hAnsi="Times New Roman" w:cs="Times New Roman"/>
          <w:sz w:val="28"/>
          <w:szCs w:val="28"/>
        </w:rPr>
        <w:t>Students attending the course will have a background in microeconomics, macroeconomics (growth economics).</w:t>
      </w:r>
    </w:p>
    <w:sectPr w:rsidR="00160CAC" w:rsidRPr="00160CA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ì?."/>
    <w:panose1 w:val="02010600030101010101"/>
    <w:charset w:val="86"/>
    <w:family w:val="auto"/>
    <w:pitch w:val="variable"/>
    <w:sig w:usb0="00000003" w:usb1="288F0000" w:usb2="00000016" w:usb3="00000000" w:csb0="00040001" w:csb1="00000000"/>
  </w:font>
  <w:font w:name="Times New Roman">
    <w:altName w:val="Times New Roman"/>
    <w:panose1 w:val="02020603050405020304"/>
    <w:charset w:val="00"/>
    <w:family w:val="roman"/>
    <w:pitch w:val="variable"/>
    <w:sig w:usb0="E0002AFF" w:usb1="C0007841"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0CAC"/>
    <w:rsid w:val="00160CAC"/>
    <w:rsid w:val="002C686E"/>
    <w:rsid w:val="00530C33"/>
    <w:rsid w:val="00EB5E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160CAC"/>
    <w:pPr>
      <w:widowControl w:val="0"/>
      <w:autoSpaceDE w:val="0"/>
      <w:autoSpaceDN w:val="0"/>
      <w:adjustRightInd w:val="0"/>
    </w:pPr>
    <w:rPr>
      <w:rFonts w:ascii="Book Antiqua" w:hAnsi="Book Antiqua" w:cs="Book Antiqua"/>
      <w:color w:val="000000"/>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160CAC"/>
    <w:pPr>
      <w:widowControl w:val="0"/>
      <w:autoSpaceDE w:val="0"/>
      <w:autoSpaceDN w:val="0"/>
      <w:adjustRightInd w:val="0"/>
    </w:pPr>
    <w:rPr>
      <w:rFonts w:ascii="Book Antiqua" w:hAnsi="Book Antiqua" w:cs="Book Antiqua"/>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391</Words>
  <Characters>2230</Characters>
  <Application>Microsoft Office Word</Application>
  <DocSecurity>0</DocSecurity>
  <Lines>18</Lines>
  <Paragraphs>5</Paragraphs>
  <ScaleCrop>false</ScaleCrop>
  <Company>Microsoft</Company>
  <LinksUpToDate>false</LinksUpToDate>
  <CharactersWithSpaces>2616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Win7</cp:lastModifiedBy>
  <cp:revision>1</cp:revision>
  <dcterms:created xsi:type="dcterms:W3CDTF">2019-05-05T03:28:00Z</dcterms:created>
  <dcterms:modified xsi:type="dcterms:W3CDTF">2019-05-05T03:33:00Z</dcterms:modified>
</cp:coreProperties>
</file>